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E6972" w14:textId="2B53996F" w:rsidR="00BE6967" w:rsidRPr="00FE4EBF" w:rsidRDefault="007B447D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45C7E" wp14:editId="1EE8FB0B">
                <wp:simplePos x="0" y="0"/>
                <wp:positionH relativeFrom="column">
                  <wp:posOffset>-632504</wp:posOffset>
                </wp:positionH>
                <wp:positionV relativeFrom="paragraph">
                  <wp:posOffset>460703</wp:posOffset>
                </wp:positionV>
                <wp:extent cx="6995795" cy="2200275"/>
                <wp:effectExtent l="0" t="0" r="14605" b="28575"/>
                <wp:wrapTopAndBottom/>
                <wp:docPr id="19749424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002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BF5506" w14:textId="77777777" w:rsidR="007B447D" w:rsidRDefault="007B447D" w:rsidP="007B44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Pronouns and determiners are both small but important words, yet they do different jobs. </w:t>
                            </w:r>
                          </w:p>
                          <w:p w14:paraId="382D811A" w14:textId="77777777" w:rsidR="007B447D" w:rsidRDefault="007B447D" w:rsidP="007B44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12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 replace 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 Instead of saying “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Glen saw a laptop. 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Glen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bought a 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>laptop,” you can say “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Glen saw a laptop. 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Glen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bought </w:t>
                            </w:r>
                            <w:r w:rsidRPr="00E30A6D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it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.” </w:t>
                            </w:r>
                          </w:p>
                          <w:p w14:paraId="44BE8595" w14:textId="77777777" w:rsidR="007B447D" w:rsidRDefault="007B447D" w:rsidP="007B44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12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Determiners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on the other hand, come before nouns to clarify which one you mean—words like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the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a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this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my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or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some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>. For example, in “</w:t>
                            </w:r>
                            <w:r w:rsidRPr="004912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my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 laptop,” </w:t>
                            </w:r>
                            <w:r w:rsidRPr="0049122E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my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 is a determiner because it identifies which laptop is being referred to. </w:t>
                            </w:r>
                          </w:p>
                          <w:p w14:paraId="5C177560" w14:textId="77777777" w:rsidR="007B447D" w:rsidRPr="0049122E" w:rsidRDefault="007B447D" w:rsidP="007B44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In short, pronouns </w:t>
                            </w:r>
                            <w:r w:rsidRPr="004912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stand in for nouns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 xml:space="preserve">, while determiners </w:t>
                            </w:r>
                            <w:r w:rsidRPr="004912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introduce and specify nouns</w:t>
                            </w:r>
                            <w:r w:rsidRPr="0049122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AFED253" w14:textId="77777777" w:rsidR="007B447D" w:rsidRPr="00BD7269" w:rsidRDefault="007B447D" w:rsidP="007B447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145C7E" id="Text Box 1" o:spid="_x0000_s1026" style="position:absolute;left:0;text-align:left;margin-left:-49.8pt;margin-top:36.3pt;width:550.85pt;height:17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LpVAIAAK0EAAAOAAAAZHJzL2Uyb0RvYy54bWysVN+P2jAMfp+0/yHK+ygwejcQ5cQ4MU1C&#10;d6dx0z2HNKHdkjhLAi376+eE8uO2PU17Se3Y/mJ/tju9a7Uie+F8Daagg16fEmE4lLXZFvTr8/Ld&#10;B0p8YKZkCowo6EF4ejd7+2ba2IkYQgWqFI4giPGTxha0CsFOsszzSmjme2CFQaMEp1lA1W2z0rEG&#10;0bXKhv3+TdaAK60DLrzH2/ujkc4SvpSCh0cpvQhEFRRzC+l06dzEM5tN2WTrmK1q3qXB/iELzWqD&#10;j56h7llgZOfqP6B0zR14kKHHQWcgZc1FqgGrGfR/q2ZdMStSLUiOt2ea/P+D5Q/7tX1yJLQfocUG&#10;RkIa6yceL2M9rXQ6fjFTgnak8HCmTbSBcLy8GY/z23FOCUfbELsyvM0jTnYJt86HTwI0iUJBHexM&#10;+QWbkzhj+5UPibySGKZxSlj5jRKpFbZizxTJR/0TYOeL0CfIGOhB1eWyViopcXbEQjmCsQVVIRWF&#10;Ea+8lCENpv4+76ccXtki9Dl+oxj/3pVz5YV4ymCNF7KiFNpN2zG4gfKAxDo4zpy3fFkj7or58MQc&#10;VoZc4uKERzykAkwGOomSCtzPv91Hf+w9WilpcGgL6n/smBOUqM8Gp2I8GI3ilCdllN8OUXHXls21&#10;xez0ApChAa6o5UmM/kGdROlAv+B+zeOraGKG49sFDSdxEY6rhPvJxXyenHCuLQsrs7Y8QseORD6f&#10;2xfmbNf/gKPzAKfxZpPU1ePEXHxjpIH5LoCsQzRGgo+sdgruRJqybn/j0l3ryevyl5n9AgAA//8D&#10;AFBLAwQUAAYACAAAACEAokZ5UOAAAAALAQAADwAAAGRycy9kb3ducmV2LnhtbEyPwU7DMAyG70i8&#10;Q2QkbluSggYtdSc0gRBCHNi47Ja1oalInKhJt/L2ZCc4WZY//f7+ej07y456jIMnBLkUwDS1vhuo&#10;R/jcPS/ugcWkqFPWk0b40RHWzeVFrarOn+hDH7epZzmEYqUQTEqh4jy2RjsVlz5oyrcvPzqV8jr2&#10;vBvVKYc7ywshVtypgfIHo4LeGN1+byeHsHsnL0N4I7PfmJcbPu3bJ/uKeH01Pz4AS3pOfzCc9bM6&#10;NNnp4CfqIrMIi7JcZRThrsjzDAhRSGAHhFtZSuBNzf93aH4BAAD//wMAUEsBAi0AFAAGAAgAAAAh&#10;ALaDOJL+AAAA4QEAABMAAAAAAAAAAAAAAAAAAAAAAFtDb250ZW50X1R5cGVzXS54bWxQSwECLQAU&#10;AAYACAAAACEAOP0h/9YAAACUAQAACwAAAAAAAAAAAAAAAAAvAQAAX3JlbHMvLnJlbHNQSwECLQAU&#10;AAYACAAAACEAhJqC6VQCAACtBAAADgAAAAAAAAAAAAAAAAAuAgAAZHJzL2Uyb0RvYy54bWxQSwEC&#10;LQAUAAYACAAAACEAokZ5UOAAAAALAQAADwAAAAAAAAAAAAAAAACuBAAAZHJzL2Rvd25yZXYueG1s&#10;UEsFBgAAAAAEAAQA8wAAALsFAAAAAA==&#10;" fillcolor="white [3201]" strokeweight=".5pt">
                <v:textbox>
                  <w:txbxContent>
                    <w:p w14:paraId="25BF5506" w14:textId="77777777" w:rsidR="007B447D" w:rsidRDefault="007B447D" w:rsidP="007B447D">
                      <w:pPr>
                        <w:rPr>
                          <w:rFonts w:ascii="Andika" w:hAnsi="Andika" w:cs="Andika"/>
                        </w:rPr>
                      </w:pPr>
                      <w:r w:rsidRPr="0049122E">
                        <w:rPr>
                          <w:rFonts w:ascii="Andika" w:hAnsi="Andika" w:cs="Andika"/>
                        </w:rPr>
                        <w:t xml:space="preserve">Pronouns and determiners are both small but important words, yet they do different jobs. </w:t>
                      </w:r>
                    </w:p>
                    <w:p w14:paraId="382D811A" w14:textId="77777777" w:rsidR="007B447D" w:rsidRDefault="007B447D" w:rsidP="007B447D">
                      <w:pPr>
                        <w:rPr>
                          <w:rFonts w:ascii="Andika" w:hAnsi="Andika" w:cs="Andika"/>
                        </w:rPr>
                      </w:pPr>
                      <w:r w:rsidRPr="0049122E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 replace nouns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 Instead of saying “</w:t>
                      </w:r>
                      <w:r>
                        <w:rPr>
                          <w:rFonts w:ascii="Andika" w:hAnsi="Andika" w:cs="Andika"/>
                        </w:rPr>
                        <w:t xml:space="preserve">Glen saw a laptop. 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Glen </w:t>
                      </w:r>
                      <w:r>
                        <w:rPr>
                          <w:rFonts w:ascii="Andika" w:hAnsi="Andika" w:cs="Andika"/>
                        </w:rPr>
                        <w:t xml:space="preserve">bought a </w:t>
                      </w:r>
                      <w:r w:rsidRPr="0049122E">
                        <w:rPr>
                          <w:rFonts w:ascii="Andika" w:hAnsi="Andika" w:cs="Andika"/>
                        </w:rPr>
                        <w:t>laptop,” you can say “</w:t>
                      </w:r>
                      <w:r>
                        <w:rPr>
                          <w:rFonts w:ascii="Andika" w:hAnsi="Andika" w:cs="Andika"/>
                        </w:rPr>
                        <w:t xml:space="preserve">Glen saw a laptop. 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Glen </w:t>
                      </w:r>
                      <w:r>
                        <w:rPr>
                          <w:rFonts w:ascii="Andika" w:hAnsi="Andika" w:cs="Andika"/>
                        </w:rPr>
                        <w:t xml:space="preserve">bought </w:t>
                      </w:r>
                      <w:r w:rsidRPr="00E30A6D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it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.” </w:t>
                      </w:r>
                    </w:p>
                    <w:p w14:paraId="44BE8595" w14:textId="77777777" w:rsidR="007B447D" w:rsidRDefault="007B447D" w:rsidP="007B447D">
                      <w:pPr>
                        <w:rPr>
                          <w:rFonts w:ascii="Andika" w:hAnsi="Andika" w:cs="Andika"/>
                        </w:rPr>
                      </w:pPr>
                      <w:r w:rsidRPr="0049122E">
                        <w:rPr>
                          <w:rFonts w:ascii="Andika" w:hAnsi="Andika" w:cs="Andika"/>
                          <w:b/>
                          <w:bCs/>
                        </w:rPr>
                        <w:t>Determiners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on the other hand, come before nouns to clarify which one you mean—words like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the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a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this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my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or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some</w:t>
                      </w:r>
                      <w:r w:rsidRPr="0049122E">
                        <w:rPr>
                          <w:rFonts w:ascii="Andika" w:hAnsi="Andika" w:cs="Andika"/>
                        </w:rPr>
                        <w:t>. For example, in “</w:t>
                      </w:r>
                      <w:r w:rsidRPr="0049122E">
                        <w:rPr>
                          <w:rFonts w:ascii="Andika" w:hAnsi="Andika" w:cs="Andika"/>
                          <w:b/>
                          <w:bCs/>
                        </w:rPr>
                        <w:t>my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 laptop,” </w:t>
                      </w:r>
                      <w:r w:rsidRPr="0049122E">
                        <w:rPr>
                          <w:rFonts w:ascii="Andika" w:hAnsi="Andika" w:cs="Andika"/>
                          <w:i/>
                          <w:iCs/>
                        </w:rPr>
                        <w:t>my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 is a determiner because it identifies which laptop is being referred to. </w:t>
                      </w:r>
                    </w:p>
                    <w:p w14:paraId="5C177560" w14:textId="77777777" w:rsidR="007B447D" w:rsidRPr="0049122E" w:rsidRDefault="007B447D" w:rsidP="007B447D">
                      <w:pPr>
                        <w:rPr>
                          <w:rFonts w:ascii="Andika" w:hAnsi="Andika" w:cs="Andika"/>
                        </w:rPr>
                      </w:pPr>
                      <w:r w:rsidRPr="0049122E">
                        <w:rPr>
                          <w:rFonts w:ascii="Andika" w:hAnsi="Andika" w:cs="Andika"/>
                        </w:rPr>
                        <w:t xml:space="preserve">In short, pronouns </w:t>
                      </w:r>
                      <w:r w:rsidRPr="0049122E">
                        <w:rPr>
                          <w:rFonts w:ascii="Andika" w:hAnsi="Andika" w:cs="Andika"/>
                          <w:b/>
                          <w:bCs/>
                        </w:rPr>
                        <w:t>stand in for nouns</w:t>
                      </w:r>
                      <w:r w:rsidRPr="0049122E">
                        <w:rPr>
                          <w:rFonts w:ascii="Andika" w:hAnsi="Andika" w:cs="Andika"/>
                        </w:rPr>
                        <w:t xml:space="preserve">, while determiners </w:t>
                      </w:r>
                      <w:r w:rsidRPr="0049122E">
                        <w:rPr>
                          <w:rFonts w:ascii="Andika" w:hAnsi="Andika" w:cs="Andika"/>
                          <w:b/>
                          <w:bCs/>
                        </w:rPr>
                        <w:t>introduce and specify nouns</w:t>
                      </w:r>
                      <w:r w:rsidRPr="0049122E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AFED253" w14:textId="77777777" w:rsidR="007B447D" w:rsidRPr="00BD7269" w:rsidRDefault="007B447D" w:rsidP="007B447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E6967" w:rsidRPr="00EF367B">
        <w:rPr>
          <w:rFonts w:ascii="Andika" w:hAnsi="Andika" w:cs="Andika"/>
          <w:b/>
          <w:bCs/>
          <w:noProof/>
          <w:sz w:val="24"/>
          <w:szCs w:val="24"/>
        </w:rPr>
        <w:t>Pronoun or determiner</w:t>
      </w:r>
      <w:r w:rsidR="00BE696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E6967" w:rsidRPr="00FE4EBF">
        <w:rPr>
          <w:rFonts w:ascii="Andika" w:hAnsi="Andika" w:cs="Andika"/>
          <w:noProof/>
          <w:sz w:val="20"/>
          <w:szCs w:val="16"/>
        </w:rPr>
        <w:br/>
      </w:r>
      <w:r w:rsidR="00BE6967" w:rsidRPr="00EF367B">
        <w:rPr>
          <w:rFonts w:ascii="Andika" w:hAnsi="Andika" w:cs="Andika"/>
          <w:noProof/>
          <w:sz w:val="20"/>
          <w:szCs w:val="16"/>
        </w:rPr>
        <w:t>Rewrite the sentences below changing a determiner into a pronoun (or vice versa).</w:t>
      </w:r>
      <w:r w:rsidR="00BE6967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E6967" w:rsidRPr="00EF367B">
        <w:rPr>
          <w:rFonts w:ascii="Andika" w:hAnsi="Andika" w:cs="Andika"/>
          <w:noProof/>
          <w:sz w:val="20"/>
          <w:szCs w:val="16"/>
        </w:rPr>
        <w:t>"That rocket can fly." becomes "That can fly." Can you spot the differences?</w:t>
      </w:r>
    </w:p>
    <w:p w14:paraId="2A101B73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is very heavy.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F9C6DF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rocket is landing.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4F2669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want these.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817C56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map is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8BC230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is glowing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A58834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Our ship is silver.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66E16C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 at those.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E2BE5A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Her helmet is new.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AD85E4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These belong to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F67E21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His lunch was tasty.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518D09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Please take that.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9C4BF8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mission is over.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1B1754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found this.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5AA7C4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book is on the table.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E2DCA9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Those are very far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382869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jam is delicious.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72FA52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Did you see these?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F9DBC7" w14:textId="77777777" w:rsidR="00BE6967" w:rsidRPr="00FE4EBF" w:rsidRDefault="00BE6967" w:rsidP="00BE69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Our garden is big.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B9201CB" w:rsidR="00285810" w:rsidRPr="007D352E" w:rsidRDefault="00285810" w:rsidP="007D352E"/>
    <w:sectPr w:rsidR="00285810" w:rsidRPr="007D352E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6C6" w14:textId="77777777" w:rsidR="004116EC" w:rsidRDefault="004116EC">
      <w:pPr>
        <w:spacing w:after="0" w:line="240" w:lineRule="auto"/>
      </w:pPr>
      <w:r>
        <w:separator/>
      </w:r>
    </w:p>
  </w:endnote>
  <w:endnote w:type="continuationSeparator" w:id="0">
    <w:p w14:paraId="429609A3" w14:textId="77777777" w:rsidR="004116EC" w:rsidRDefault="00411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2A86" w14:textId="77777777" w:rsidR="004116EC" w:rsidRDefault="004116EC">
      <w:pPr>
        <w:spacing w:after="0" w:line="240" w:lineRule="auto"/>
      </w:pPr>
      <w:r>
        <w:separator/>
      </w:r>
    </w:p>
  </w:footnote>
  <w:footnote w:type="continuationSeparator" w:id="0">
    <w:p w14:paraId="6584A408" w14:textId="77777777" w:rsidR="004116EC" w:rsidRDefault="00411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16EC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2026-03-05T09:33:00Z</dcterms:created>
  <dcterms:modified xsi:type="dcterms:W3CDTF">2026-03-05T09:34:00Z</dcterms:modified>
</cp:coreProperties>
</file>